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left="5664"/>
        <w:rPr>
          <w:rFonts w:ascii="Times New Roman" w:hAnsi="Times New Roman" w:eastAsia="Times New Roman" w:cs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 w:eastAsia="Times New Roman" w:cs="Times New Roman"/>
          <w:color w:val="000000"/>
          <w:spacing w:val="-6"/>
          <w:sz w:val="30"/>
          <w:szCs w:val="30"/>
        </w:rPr>
        <w:t>УТВЕРЖДЕНО</w:t>
      </w:r>
    </w:p>
    <w:p>
      <w:pPr>
        <w:shd w:val="clear" w:color="auto" w:fill="FFFFFF"/>
        <w:spacing w:after="0" w:line="120" w:lineRule="exact"/>
        <w:ind w:left="5664"/>
        <w:rPr>
          <w:rFonts w:ascii="Times New Roman" w:hAnsi="Times New Roman" w:eastAsia="Times New Roman" w:cs="Times New Roman"/>
          <w:color w:val="000000"/>
          <w:spacing w:val="-6"/>
          <w:sz w:val="30"/>
          <w:szCs w:val="30"/>
        </w:rPr>
      </w:pPr>
    </w:p>
    <w:p>
      <w:pPr>
        <w:shd w:val="clear" w:color="auto" w:fill="FFFFFF"/>
        <w:spacing w:after="0" w:line="280" w:lineRule="exact"/>
        <w:ind w:left="5664"/>
        <w:rPr>
          <w:rFonts w:ascii="Times New Roman" w:hAnsi="Times New Roman" w:eastAsia="Times New Roman" w:cs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 w:eastAsia="Times New Roman" w:cs="Times New Roman"/>
          <w:color w:val="000000"/>
          <w:spacing w:val="-6"/>
          <w:sz w:val="30"/>
          <w:szCs w:val="30"/>
        </w:rPr>
        <w:t>Протокол комиссии по противодействию коррупции</w:t>
      </w:r>
    </w:p>
    <w:p>
      <w:pPr>
        <w:shd w:val="clear" w:color="auto" w:fill="FFFFFF"/>
        <w:spacing w:after="0" w:line="280" w:lineRule="exact"/>
        <w:ind w:left="5664"/>
        <w:rPr>
          <w:rFonts w:ascii="Times New Roman" w:hAnsi="Times New Roman" w:eastAsia="Times New Roman" w:cs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 w:eastAsia="Times New Roman" w:cs="Times New Roman"/>
          <w:color w:val="000000"/>
          <w:spacing w:val="-6"/>
          <w:sz w:val="30"/>
          <w:szCs w:val="30"/>
        </w:rPr>
        <w:t>отдела спорта и туризма Оршанского районного исполнительного комитета</w:t>
      </w:r>
    </w:p>
    <w:p>
      <w:pPr>
        <w:shd w:val="clear" w:color="auto" w:fill="FFFFFF"/>
        <w:spacing w:after="0" w:line="120" w:lineRule="exact"/>
        <w:ind w:left="5664"/>
        <w:rPr>
          <w:rFonts w:ascii="Times New Roman" w:hAnsi="Times New Roman" w:eastAsia="Times New Roman" w:cs="Times New Roman"/>
          <w:color w:val="000000"/>
          <w:spacing w:val="-6"/>
          <w:sz w:val="30"/>
          <w:szCs w:val="30"/>
        </w:rPr>
      </w:pPr>
    </w:p>
    <w:p>
      <w:pPr>
        <w:shd w:val="clear" w:color="auto" w:fill="FFFFFF"/>
        <w:spacing w:after="0" w:line="240" w:lineRule="auto"/>
        <w:ind w:left="5664"/>
        <w:rPr>
          <w:rFonts w:ascii="Times New Roman" w:hAnsi="Times New Roman" w:eastAsia="Times New Roman" w:cs="Times New Roman"/>
          <w:color w:val="000000"/>
          <w:spacing w:val="-6"/>
          <w:sz w:val="30"/>
          <w:szCs w:val="30"/>
        </w:rPr>
      </w:pPr>
      <w:r>
        <w:rPr>
          <w:rFonts w:ascii="Times New Roman" w:hAnsi="Times New Roman" w:eastAsia="Times New Roman" w:cs="Times New Roman"/>
          <w:color w:val="000000"/>
          <w:spacing w:val="-6"/>
          <w:sz w:val="30"/>
          <w:szCs w:val="30"/>
        </w:rPr>
        <w:t>03.02.2020  № 1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pacing w:val="-6"/>
          <w:sz w:val="30"/>
          <w:szCs w:val="30"/>
        </w:rPr>
      </w:pPr>
    </w:p>
    <w:p>
      <w:pPr>
        <w:shd w:val="clear" w:color="auto" w:fill="FFFFFF"/>
        <w:spacing w:after="0" w:line="280" w:lineRule="exact"/>
        <w:rPr>
          <w:rFonts w:ascii="Times New Roman" w:hAnsi="Times New Roman" w:eastAsia="Times New Roman" w:cs="Times New Roman"/>
          <w:bCs/>
          <w:caps/>
          <w:color w:val="000000"/>
          <w:spacing w:val="-6"/>
          <w:sz w:val="30"/>
          <w:szCs w:val="30"/>
        </w:rPr>
      </w:pPr>
      <w:r>
        <w:rPr>
          <w:rFonts w:ascii="Times New Roman" w:hAnsi="Times New Roman" w:eastAsia="Times New Roman" w:cs="Times New Roman"/>
          <w:bCs/>
          <w:caps/>
          <w:color w:val="000000"/>
          <w:spacing w:val="-6"/>
          <w:sz w:val="30"/>
          <w:szCs w:val="30"/>
        </w:rPr>
        <w:t>План</w:t>
      </w:r>
    </w:p>
    <w:p>
      <w:pPr>
        <w:shd w:val="clear" w:color="auto" w:fill="FFFFFF"/>
        <w:spacing w:after="0" w:line="280" w:lineRule="exact"/>
        <w:rPr>
          <w:rFonts w:ascii="Times New Roman" w:hAnsi="Times New Roman" w:eastAsia="Times New Roman" w:cs="Times New Roman"/>
          <w:bCs/>
          <w:color w:val="000000"/>
          <w:spacing w:val="-6"/>
          <w:sz w:val="30"/>
          <w:szCs w:val="30"/>
        </w:rPr>
      </w:pPr>
      <w:r>
        <w:rPr>
          <w:rFonts w:ascii="Times New Roman" w:hAnsi="Times New Roman" w:eastAsia="Times New Roman" w:cs="Times New Roman"/>
          <w:bCs/>
          <w:color w:val="000000"/>
          <w:spacing w:val="-6"/>
          <w:sz w:val="30"/>
          <w:szCs w:val="30"/>
        </w:rPr>
        <w:t xml:space="preserve">мероприятий по борьбе с коррупцией </w:t>
      </w:r>
    </w:p>
    <w:p>
      <w:pPr>
        <w:shd w:val="clear" w:color="auto" w:fill="FFFFFF"/>
        <w:spacing w:after="0" w:line="280" w:lineRule="exact"/>
        <w:rPr>
          <w:rFonts w:ascii="Times New Roman" w:hAnsi="Times New Roman" w:eastAsia="Times New Roman" w:cs="Times New Roman"/>
          <w:bCs/>
          <w:color w:val="000000"/>
          <w:spacing w:val="-6"/>
          <w:sz w:val="30"/>
          <w:szCs w:val="30"/>
        </w:rPr>
      </w:pPr>
      <w:r>
        <w:rPr>
          <w:rFonts w:ascii="Times New Roman" w:hAnsi="Times New Roman" w:eastAsia="Times New Roman" w:cs="Times New Roman"/>
          <w:bCs/>
          <w:color w:val="000000"/>
          <w:spacing w:val="-6"/>
          <w:sz w:val="30"/>
          <w:szCs w:val="30"/>
        </w:rPr>
        <w:t>на 2020 год отдела спорта и туризма</w:t>
      </w:r>
    </w:p>
    <w:p>
      <w:pPr>
        <w:shd w:val="clear" w:color="auto" w:fill="FFFFFF"/>
        <w:spacing w:after="0" w:line="280" w:lineRule="exact"/>
        <w:rPr>
          <w:rFonts w:ascii="Times New Roman" w:hAnsi="Times New Roman" w:eastAsia="Times New Roman" w:cs="Times New Roman"/>
          <w:bCs/>
          <w:color w:val="000000"/>
          <w:spacing w:val="-6"/>
          <w:sz w:val="30"/>
          <w:szCs w:val="30"/>
        </w:rPr>
      </w:pPr>
      <w:r>
        <w:rPr>
          <w:rFonts w:ascii="Times New Roman" w:hAnsi="Times New Roman" w:eastAsia="Times New Roman" w:cs="Times New Roman"/>
          <w:bCs/>
          <w:color w:val="000000"/>
          <w:spacing w:val="-6"/>
          <w:sz w:val="30"/>
          <w:szCs w:val="30"/>
        </w:rPr>
        <w:t>Оршанского районного исполнительного комитета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color w:val="000000"/>
          <w:spacing w:val="-6"/>
          <w:sz w:val="30"/>
          <w:szCs w:val="30"/>
        </w:rPr>
      </w:pPr>
    </w:p>
    <w:p>
      <w:pPr>
        <w:shd w:val="clear" w:color="auto" w:fill="FFFFFF"/>
        <w:spacing w:after="0" w:line="120" w:lineRule="exact"/>
        <w:jc w:val="center"/>
        <w:rPr>
          <w:rFonts w:ascii="Times New Roman" w:hAnsi="Times New Roman" w:eastAsia="Times New Roman" w:cs="Times New Roman"/>
          <w:caps/>
          <w:color w:val="000000"/>
          <w:spacing w:val="-6"/>
          <w:sz w:val="30"/>
          <w:szCs w:val="30"/>
        </w:rPr>
      </w:pPr>
    </w:p>
    <w:tbl>
      <w:tblPr>
        <w:tblStyle w:val="7"/>
        <w:tblW w:w="9948" w:type="dxa"/>
        <w:tblCellSpacing w:w="15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8"/>
        <w:gridCol w:w="45"/>
        <w:gridCol w:w="2163"/>
        <w:gridCol w:w="2458"/>
        <w:gridCol w:w="1734"/>
        <w:gridCol w:w="9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30"/>
                <w:szCs w:val="30"/>
              </w:rPr>
              <w:t>Срок выполнения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30"/>
                <w:szCs w:val="30"/>
              </w:rPr>
              <w:t>Исполнители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30"/>
                <w:szCs w:val="30"/>
              </w:rPr>
              <w:t>Контроль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88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30"/>
                <w:szCs w:val="30"/>
              </w:rPr>
              <w:t>Мероприятия по профилактике коррупционных правонаруше</w:t>
            </w:r>
            <w:r>
              <w:rPr>
                <w:rFonts w:hint="default" w:ascii="Times New Roman" w:hAnsi="Times New Roman" w:cs="Times New Roman"/>
                <w:b w:val="0"/>
                <w:bCs/>
                <w:sz w:val="30"/>
                <w:szCs w:val="30"/>
                <w:lang w:val="ru-RU"/>
              </w:rPr>
              <w:t>ний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1. Разработка положения о порядке заключения и исполнения хозяйственных договоров и ознакомление с ним заинтересованных лиц под роспись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Февраль-март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20</w:t>
            </w:r>
            <w:bookmarkStart w:id="0" w:name="_GoBack"/>
            <w:bookmarkEnd w:id="0"/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Главный бухгалтер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2. Выборочная проверка документов, в целях контроля 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соблюдением порядка проведения государственных закупок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Комиссия по противодействию коррупции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6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3. Внесение в учетную политику отдела спорта и туризма норм, определяющих порядок оформления приемки, отпуска на сторону, внутреннего перемещения, списания, совершения других действий с имуществом, обеспечивающих его сохранность и исключающих возможность его хищения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Февраль-март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 2019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highlight w:val="yellow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highlight w:val="none"/>
                <w:lang w:val="ru-RU"/>
              </w:rPr>
              <w:t>Главный бухгалтер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5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4. 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>В целях исключения коррупционных рисков обеспечивать публичность принимаемых решений по проведению конкурсов на оказание услуг (выполнение работ), в сфере закупок (государственных и за счет собственных средств), предоставлении помещений в аренду, приватизации и распоряжении государственным имуществом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Постоянно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highlight w:val="yellow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Юрисконсульт, главный бухгалтер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highlight w:val="yellow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5. 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>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металлы);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2020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Комиссия по противодействию коррупции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Руководители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структурных подразделений, подведомственных учреждений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6. 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>По каждому факту возникновения дебиторской задолженности, просроченной свыше 1 года, проводить выявление причин и условий, которые</w:t>
            </w:r>
            <w:r>
              <w:rPr>
                <w:rFonts w:hint="default"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>способствовали ее возникновению (ненадлежащее исполнение работниками организации своих трудовых обязанностей; недостатки локального нормативного правового регулирования порядка заключения, исполнения договоров и контроля за их исполнением, ведения претензионно-исковой работы, осуществления закупочной и сбытовой деятельности и т.п.) и рассматривать на комиссиях по противодействию коррупции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Постоянно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Комиссия по противодействию коррупции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Руководители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структурных подразделений, подведомственных учреждений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15" w:type="dxa"/>
        </w:trPr>
        <w:tc>
          <w:tcPr>
            <w:tcW w:w="988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30"/>
                <w:szCs w:val="30"/>
              </w:rPr>
              <w:t>Мероприятия антикоррупционной направленности в области кадровой политики, осуществлении контроля за соблюдением государственными служащими и приравненными к ним должностными лицами соответствующих запретов и ограничений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8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7. Утверждение перечней должностей государственных должностных лиц и лиц, приравненных к государственным должностным лицам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Январь-март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20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Комиссия по противодействию коррупции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8. 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 xml:space="preserve">Осуществлять контроль за декларированием доходов и имущества при назначении на должности государственных служащих, а также лиц, назначаемых на должности руководителей государственных предприятий 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2020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Руководители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структурных подразделений, подведомственных учреждений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Юрисконсульт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2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9. 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>Осуществлять контроль за ежегодным декларированием доходов и имущества государственных служащих, руководителей государственных предприятий и руководителей организаций, в уставных фондах которых 50 и более процентов долей (акций) находится в собственности государства, а также супруга (супруги), совершеннолетних близких родственников, совместно с ними проживающих и ведущих общее хозяйство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Ежегодно до 1 марта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Руководители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структурных подразделений, подведомственных учреждений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Юрисконсульт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  <w:tblCellSpacing w:w="15" w:type="dxa"/>
        </w:trPr>
        <w:tc>
          <w:tcPr>
            <w:tcW w:w="988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42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pacing w:val="-6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30"/>
                <w:szCs w:val="30"/>
              </w:rPr>
              <w:t>Мероприятия, проводимые с целью информирования населения о коррупционных преступлениях и способствующие созданию атмосферы нетерпимости в отношении коррупции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11. Создание на официальном сайте отдела спорта и туризма Оршанского районного исполнительного комитета (при наличии) специального раздела «Борьба с коррупцией» с размещением в нем информации об антикоррупционном законодательстве (тексты, ссылки на тексты), а также настоящего Плана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20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Главный специалист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Начальник отдела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12</w:t>
            </w:r>
            <w:r>
              <w:rPr>
                <w:rFonts w:hint="default" w:ascii="Times New Roman" w:hAnsi="Times New Roman" w:eastAsia="Times New Roman" w:cs="Times New Roman"/>
                <w:spacing w:val="-6"/>
                <w:sz w:val="30"/>
                <w:szCs w:val="30"/>
              </w:rPr>
              <w:t>.</w:t>
            </w:r>
            <w:r>
              <w:rPr>
                <w:rFonts w:hint="default" w:ascii="Times New Roman" w:hAnsi="Times New Roman" w:cs="Times New Roman"/>
                <w:sz w:val="30"/>
                <w:szCs w:val="30"/>
              </w:rPr>
              <w:t>Принимать меры для восстановления нарушенных прав, свобод и законных интересов физических и юридических лиц, ликвидации иных вредных последствий правонарушений, создающих условия для коррупции, и коррупционных правонарушений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Постоянно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Комиссия по противодействию коррупции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</w:trPr>
        <w:tc>
          <w:tcPr>
            <w:tcW w:w="34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30"/>
                <w:szCs w:val="30"/>
              </w:rPr>
              <w:t>Результаты рассмотрения обращений граждан и юридических лиц, в которых сообщается о фактах коррупции и иных нарушениях антикоррупционного законодательства, обобщать и обсуждать на заседаниях антикоррупционных комиссий в целях контроля за надлежащим реагированием на такие обращения</w:t>
            </w:r>
          </w:p>
        </w:tc>
        <w:tc>
          <w:tcPr>
            <w:tcW w:w="21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2020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(по итогом каждого полугодия)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Комиссия по противодействию коррупции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0" w:type="dxa"/>
          <w:trHeight w:val="723" w:hRule="atLeast"/>
          <w:tblCellSpacing w:w="15" w:type="dxa"/>
        </w:trPr>
        <w:tc>
          <w:tcPr>
            <w:tcW w:w="97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42" w:leftChars="0" w:firstLine="0" w:firstLineChars="0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6"/>
                <w:sz w:val="30"/>
                <w:szCs w:val="30"/>
              </w:rPr>
              <w:t>Иные организационно-практические и организационно-правовые  мероприятия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34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14. Сообщение в письменной форме непосредственному руководителю о возникновении или возможности возникновения конфликтов интересов в связи исполнением служебных (трудовых) обязанностей для определения порядка предотвращения и урегулирования таких конфликтов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В течение 5 дней с момента поступления информации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Структурные подразделения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Подведомственные учреждения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34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 xml:space="preserve">. </w:t>
            </w:r>
            <w:r>
              <w:rPr>
                <w:rFonts w:ascii="Times New Roman" w:hAnsi="Times New Roman" w:cs="Times New Roman"/>
                <w:color w:val="111111"/>
                <w:sz w:val="30"/>
                <w:szCs w:val="30"/>
                <w:shd w:val="clear" w:color="auto" w:fill="FFFFFF"/>
              </w:rPr>
              <w:t>Проведение заседаний комиссии по противодействию коррупции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1 раз в полугодие  (чаще при поступившей информации, содержащей сведения о коррупционных проявлениях либо с целью предотвращения их наступления)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Комиссия по противодействию коррупции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34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О рассмотрении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райисполкома и подчиненных ему организаций законодательства в сфере борьбы с коррупцией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В течение 10 дней с момента поступления информации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Комиссия по противодействию коррупции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15" w:type="dxa"/>
        </w:trPr>
        <w:tc>
          <w:tcPr>
            <w:tcW w:w="34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Подготовка проекта плана мероприятий по противодействию коррупции на 2021 год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Декабрь 20</w:t>
            </w: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  <w:lang w:val="ru-RU"/>
              </w:rPr>
              <w:t>20</w:t>
            </w:r>
          </w:p>
        </w:tc>
        <w:tc>
          <w:tcPr>
            <w:tcW w:w="24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Комиссия по противодействию коррупции</w:t>
            </w:r>
          </w:p>
        </w:tc>
        <w:tc>
          <w:tcPr>
            <w:tcW w:w="17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30"/>
                <w:szCs w:val="30"/>
              </w:rPr>
              <w:t>Начальник отдела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pacing w:val="-6"/>
          <w:sz w:val="30"/>
          <w:szCs w:val="30"/>
        </w:rPr>
      </w:pPr>
    </w:p>
    <w:sectPr>
      <w:headerReference r:id="rId3" w:type="default"/>
      <w:pgSz w:w="11906" w:h="16838"/>
      <w:pgMar w:top="1134" w:right="567" w:bottom="1134" w:left="1701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623118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</w:rPr>
          <w:t>2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72E"/>
    <w:multiLevelType w:val="multilevel"/>
    <w:tmpl w:val="1B87372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10B5"/>
    <w:multiLevelType w:val="singleLevel"/>
    <w:tmpl w:val="34BD10B5"/>
    <w:lvl w:ilvl="0" w:tentative="0">
      <w:start w:val="1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40"/>
    <w:rsid w:val="00042040"/>
    <w:rsid w:val="00042055"/>
    <w:rsid w:val="00074D13"/>
    <w:rsid w:val="001C3AB8"/>
    <w:rsid w:val="002529C8"/>
    <w:rsid w:val="002C176D"/>
    <w:rsid w:val="00300767"/>
    <w:rsid w:val="00367B64"/>
    <w:rsid w:val="0049562F"/>
    <w:rsid w:val="004B3481"/>
    <w:rsid w:val="004D4ADF"/>
    <w:rsid w:val="004F17A3"/>
    <w:rsid w:val="00501011"/>
    <w:rsid w:val="00546FDF"/>
    <w:rsid w:val="005930CB"/>
    <w:rsid w:val="006E491D"/>
    <w:rsid w:val="006E7804"/>
    <w:rsid w:val="00737735"/>
    <w:rsid w:val="00746848"/>
    <w:rsid w:val="00883068"/>
    <w:rsid w:val="008D1973"/>
    <w:rsid w:val="0090767A"/>
    <w:rsid w:val="00922F5D"/>
    <w:rsid w:val="009340AE"/>
    <w:rsid w:val="009C1DEA"/>
    <w:rsid w:val="00A05C63"/>
    <w:rsid w:val="00A123BA"/>
    <w:rsid w:val="00A54036"/>
    <w:rsid w:val="00AD3A8B"/>
    <w:rsid w:val="00B40F35"/>
    <w:rsid w:val="00BE36C5"/>
    <w:rsid w:val="00CF7A3B"/>
    <w:rsid w:val="00D62B86"/>
    <w:rsid w:val="00F91073"/>
    <w:rsid w:val="00FC31A4"/>
    <w:rsid w:val="05A50C18"/>
    <w:rsid w:val="0C887D15"/>
    <w:rsid w:val="23796FAA"/>
    <w:rsid w:val="283D61DF"/>
    <w:rsid w:val="2B007C55"/>
    <w:rsid w:val="36914BFE"/>
    <w:rsid w:val="39023CDC"/>
    <w:rsid w:val="3DDC6093"/>
    <w:rsid w:val="50CC4E71"/>
    <w:rsid w:val="7B956999"/>
    <w:rsid w:val="7E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Верхний колонтитул Знак"/>
    <w:basedOn w:val="6"/>
    <w:link w:val="3"/>
    <w:uiPriority w:val="99"/>
  </w:style>
  <w:style w:type="character" w:customStyle="1" w:styleId="9">
    <w:name w:val="Нижний колонтитул Знак"/>
    <w:basedOn w:val="6"/>
    <w:link w:val="4"/>
    <w:semiHidden/>
    <w:uiPriority w:val="99"/>
  </w:style>
  <w:style w:type="character" w:customStyle="1" w:styleId="10">
    <w:name w:val="Текст выноски Знак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886</Words>
  <Characters>5051</Characters>
  <Lines>42</Lines>
  <Paragraphs>11</Paragraphs>
  <TotalTime>4</TotalTime>
  <ScaleCrop>false</ScaleCrop>
  <LinksUpToDate>false</LinksUpToDate>
  <CharactersWithSpaces>5926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2020-01-24T13:51:00Z</dcterms:created>
  <dc:creator>Asus</dc:creator>
  <cp:lastModifiedBy>ПАША</cp:lastModifiedBy>
  <cp:lastPrinted>2019-02-08T09:58:00Z</cp:lastPrinted>
  <dcterms:modified xsi:type="dcterms:W3CDTF">2020-01-25T18:41:47Z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